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 China, October 09 - October 13</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L1-RSRP measurement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5.7.2.2</w:t>
      </w:r>
      <w:bookmarkStart w:id="1" w:name="_GoBack"/>
      <w:bookmarkEnd w:id="1"/>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L1-RSRP measurement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numPr>
                <w:ilvl w:val="0"/>
                <w:numId w:val="0"/>
              </w:numPr>
              <w:spacing w:line="240" w:lineRule="auto"/>
              <w:rPr>
                <w:sz w:val="24"/>
                <w:szCs w:val="24"/>
                <w:lang w:val="en-US"/>
              </w:rPr>
            </w:pPr>
            <w:r>
              <w:rPr>
                <w:sz w:val="24"/>
                <w:szCs w:val="24"/>
                <w:lang w:val="en-US"/>
              </w:rPr>
              <w:t>Sub-topic 1-1: General aspects</w:t>
            </w:r>
          </w:p>
          <w:p>
            <w:pPr>
              <w:spacing w:line="240" w:lineRule="auto"/>
              <w:rPr>
                <w:b/>
                <w:u w:val="single"/>
                <w:lang w:eastAsia="ko-KR"/>
              </w:rPr>
            </w:pPr>
            <w:r>
              <w:rPr>
                <w:b/>
                <w:u w:val="single"/>
                <w:lang w:eastAsia="ko-KR"/>
              </w:rPr>
              <w:t xml:space="preserve">Issue 1-1-2: RS to be considered for L1-RSRP reported via GBBR  </w:t>
            </w:r>
          </w:p>
          <w:p>
            <w:pPr>
              <w:pStyle w:val="28"/>
              <w:numPr>
                <w:ilvl w:val="0"/>
                <w:numId w:val="0"/>
              </w:numPr>
              <w:overflowPunct w:val="0"/>
              <w:autoSpaceDE w:val="0"/>
              <w:autoSpaceDN w:val="0"/>
              <w:adjustRightInd w:val="0"/>
              <w:spacing w:line="240" w:lineRule="auto"/>
              <w:rPr>
                <w:bCs/>
              </w:rPr>
            </w:pPr>
            <w:r>
              <w:rPr>
                <w:bCs/>
                <w:highlight w:val="green"/>
              </w:rPr>
              <w:t>Agreement</w:t>
            </w:r>
          </w:p>
          <w:p>
            <w:pPr>
              <w:pStyle w:val="28"/>
              <w:numPr>
                <w:ilvl w:val="0"/>
                <w:numId w:val="6"/>
              </w:numPr>
              <w:overflowPunct w:val="0"/>
              <w:autoSpaceDE w:val="0"/>
              <w:autoSpaceDN w:val="0"/>
              <w:adjustRightInd w:val="0"/>
              <w:spacing w:line="240" w:lineRule="auto"/>
              <w:ind w:left="660" w:leftChars="0"/>
              <w:rPr>
                <w:bCs/>
              </w:rPr>
            </w:pPr>
            <w:r>
              <w:rPr>
                <w:bCs/>
              </w:rPr>
              <w:t>Do not introduce requirements for Rel-17 GBBR measurements involving both SSB and CSI-RS measurements</w:t>
            </w:r>
          </w:p>
          <w:p>
            <w:pPr>
              <w:spacing w:line="240" w:lineRule="auto"/>
              <w:rPr>
                <w:rFonts w:eastAsia="Malgun Gothic"/>
                <w:bCs/>
                <w:lang w:eastAsia="ko-KR"/>
              </w:rPr>
            </w:pPr>
          </w:p>
          <w:p>
            <w:pPr>
              <w:spacing w:line="240" w:lineRule="auto"/>
              <w:rPr>
                <w:b/>
                <w:u w:val="single"/>
                <w:lang w:eastAsia="ko-KR"/>
              </w:rPr>
            </w:pPr>
            <w:r>
              <w:rPr>
                <w:b/>
                <w:u w:val="single"/>
                <w:lang w:eastAsia="ko-KR"/>
              </w:rPr>
              <w:t>Issue 1-1-3: Should the RS configured for measurements reported via GBBR and used for multi-rx be configured based on L3 report?</w:t>
            </w:r>
          </w:p>
          <w:p>
            <w:pPr>
              <w:spacing w:after="120" w:line="240" w:lineRule="auto"/>
              <w:rPr>
                <w:bCs/>
                <w:szCs w:val="24"/>
                <w:lang w:val="en-US"/>
              </w:rPr>
            </w:pPr>
            <w:r>
              <w:rPr>
                <w:bCs/>
                <w:szCs w:val="24"/>
                <w:highlight w:val="green"/>
                <w:lang w:val="en-US"/>
              </w:rPr>
              <w:t>Agreement</w:t>
            </w:r>
            <w:r>
              <w:rPr>
                <w:bCs/>
                <w:szCs w:val="24"/>
                <w:lang w:val="en-US"/>
              </w:rPr>
              <w:t>:</w:t>
            </w:r>
          </w:p>
          <w:p>
            <w:pPr>
              <w:pStyle w:val="28"/>
              <w:numPr>
                <w:ilvl w:val="0"/>
                <w:numId w:val="6"/>
              </w:numPr>
              <w:autoSpaceDN w:val="0"/>
              <w:adjustRightInd w:val="0"/>
              <w:spacing w:line="240" w:lineRule="auto"/>
              <w:ind w:left="660" w:leftChars="0"/>
              <w:rPr>
                <w:szCs w:val="24"/>
              </w:rPr>
            </w:pPr>
            <w:r>
              <w:t>How to configure RS for measurements reported via GBBR is NW implementation. RAN4 not to introduce any configuration restrictions.</w:t>
            </w:r>
          </w:p>
          <w:p>
            <w:pPr>
              <w:pStyle w:val="4"/>
              <w:numPr>
                <w:ilvl w:val="0"/>
                <w:numId w:val="0"/>
              </w:numPr>
              <w:spacing w:line="240" w:lineRule="auto"/>
              <w:rPr>
                <w:b/>
                <w:u w:val="single"/>
                <w:lang w:eastAsia="ko-KR"/>
              </w:rPr>
            </w:pPr>
            <w:r>
              <w:rPr>
                <w:sz w:val="24"/>
                <w:szCs w:val="24"/>
                <w:lang w:val="en-US"/>
              </w:rPr>
              <w:t xml:space="preserve">Sub-topic 1-2: Measurement period requirements </w:t>
            </w:r>
          </w:p>
          <w:p>
            <w:pPr>
              <w:spacing w:line="240" w:lineRule="auto"/>
              <w:rPr>
                <w:b/>
                <w:u w:val="single"/>
                <w:lang w:eastAsia="ko-KR"/>
              </w:rPr>
            </w:pPr>
            <w:r>
              <w:rPr>
                <w:b/>
                <w:u w:val="single"/>
                <w:lang w:eastAsia="ko-KR"/>
              </w:rPr>
              <w:t xml:space="preserve">Issue 1-2-1: consideration of </w:t>
            </w:r>
            <w:r>
              <w:rPr>
                <w:b/>
                <w:szCs w:val="24"/>
                <w:u w:val="single"/>
              </w:rPr>
              <w:t>non-simultaneous RS measurements for GBBR</w:t>
            </w:r>
          </w:p>
          <w:p>
            <w:pPr>
              <w:spacing w:after="120" w:line="240" w:lineRule="auto"/>
              <w:rPr>
                <w:bCs/>
                <w:szCs w:val="24"/>
                <w:lang w:val="en-US"/>
              </w:rPr>
            </w:pPr>
            <w:r>
              <w:rPr>
                <w:bCs/>
                <w:szCs w:val="24"/>
                <w:highlight w:val="green"/>
                <w:lang w:val="en-US"/>
              </w:rPr>
              <w:t>Agreement</w:t>
            </w:r>
            <w:r>
              <w:rPr>
                <w:bCs/>
                <w:szCs w:val="24"/>
                <w:lang w:val="en-US"/>
              </w:rPr>
              <w:t>:</w:t>
            </w:r>
          </w:p>
          <w:p>
            <w:pPr>
              <w:pStyle w:val="28"/>
              <w:numPr>
                <w:ilvl w:val="0"/>
                <w:numId w:val="6"/>
              </w:numPr>
              <w:autoSpaceDN w:val="0"/>
              <w:adjustRightInd w:val="0"/>
              <w:spacing w:line="240" w:lineRule="auto"/>
              <w:ind w:left="660" w:leftChars="0"/>
            </w:pPr>
            <w:r>
              <w:t>RAN4 to also consider non-simultaneous RS measurements from different TRPs for Rel-17 group-based L1-RSRP report requirements.</w:t>
            </w:r>
          </w:p>
          <w:p>
            <w:pPr>
              <w:spacing w:after="120" w:line="240" w:lineRule="auto"/>
              <w:rPr>
                <w:rFonts w:eastAsia="Malgun Gothic"/>
                <w:b/>
                <w:u w:val="single"/>
                <w:lang w:eastAsia="ko-KR"/>
              </w:rPr>
            </w:pPr>
          </w:p>
          <w:p>
            <w:pPr>
              <w:spacing w:line="240" w:lineRule="auto"/>
              <w:rPr>
                <w:b/>
                <w:u w:val="single"/>
                <w:lang w:eastAsia="ko-KR"/>
              </w:rPr>
            </w:pPr>
            <w:r>
              <w:rPr>
                <w:b/>
                <w:u w:val="single"/>
                <w:lang w:eastAsia="ko-KR"/>
              </w:rPr>
              <w:t xml:space="preserve">Issue 1-2-2: Measurement period for L1-RSRP configured for GBBR </w:t>
            </w:r>
          </w:p>
          <w:p>
            <w:pPr>
              <w:pStyle w:val="28"/>
              <w:numPr>
                <w:ilvl w:val="0"/>
                <w:numId w:val="0"/>
              </w:numPr>
              <w:overflowPunct w:val="0"/>
              <w:autoSpaceDE w:val="0"/>
              <w:autoSpaceDN w:val="0"/>
              <w:adjustRightInd w:val="0"/>
              <w:spacing w:line="240" w:lineRule="auto"/>
              <w:rPr>
                <w:rFonts w:hint="eastAsia" w:eastAsia="宋体"/>
                <w:bCs/>
                <w:lang w:eastAsia="zh-CN"/>
              </w:rPr>
            </w:pPr>
            <w:r>
              <w:rPr>
                <w:bCs/>
                <w:highlight w:val="green"/>
              </w:rPr>
              <w:t>Agreements</w:t>
            </w:r>
            <w:r>
              <w:rPr>
                <w:rFonts w:hint="eastAsia"/>
                <w:bCs/>
                <w:lang w:eastAsia="zh-CN"/>
              </w:rPr>
              <w:t>：</w:t>
            </w:r>
          </w:p>
          <w:p>
            <w:pPr>
              <w:pStyle w:val="28"/>
              <w:numPr>
                <w:ilvl w:val="0"/>
                <w:numId w:val="6"/>
              </w:numPr>
              <w:spacing w:line="240" w:lineRule="auto"/>
              <w:ind w:left="660" w:leftChars="0"/>
              <w:rPr>
                <w:bCs/>
              </w:rPr>
            </w:pPr>
            <w:r>
              <w:rPr>
                <w:bCs/>
              </w:rPr>
              <w:t>For SSB based L1-RSRP measurements in FR2 the measurement period for GBBR defined as: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line="240" w:lineRule="auto"/>
                    <w:ind w:left="1296"/>
                    <w:rPr>
                      <w:rFonts w:eastAsia="Yu Mincho"/>
                      <w:iCs/>
                      <w:lang w:eastAsia="ja-JP"/>
                    </w:rPr>
                  </w:pPr>
                  <w:r>
                    <w:rPr>
                      <w:rFonts w:eastAsia="Yu Mincho"/>
                      <w:iCs/>
                      <w:lang w:eastAsia="ja-JP"/>
                    </w:rPr>
                    <w:t>Configuration</w:t>
                  </w:r>
                </w:p>
              </w:tc>
              <w:tc>
                <w:tcPr>
                  <w:tcW w:w="4582" w:type="dxa"/>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TL1-RSRP_Measurement_Period_SSB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non-DRX</w:t>
                  </w:r>
                </w:p>
              </w:tc>
              <w:tc>
                <w:tcPr>
                  <w:tcW w:w="4582" w:type="dxa"/>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max(T</w:t>
                  </w:r>
                  <w:r>
                    <w:rPr>
                      <w:rFonts w:eastAsia="Yu Mincho"/>
                      <w:iCs/>
                      <w:vertAlign w:val="subscript"/>
                      <w:lang w:eastAsia="ja-JP"/>
                    </w:rPr>
                    <w:t>Report</w:t>
                  </w:r>
                  <w:r>
                    <w:rPr>
                      <w:rFonts w:eastAsia="Yu Mincho"/>
                      <w:iCs/>
                      <w:lang w:eastAsia="ja-JP"/>
                    </w:rPr>
                    <w:t>, ceil(M*P*N)*T</w:t>
                  </w:r>
                  <w:r>
                    <w:rPr>
                      <w:rFonts w:eastAsia="Yu Mincho"/>
                      <w:iCs/>
                      <w:vertAlign w:val="subscript"/>
                      <w:lang w:eastAsia="ja-JP"/>
                    </w:rPr>
                    <w:t>SSB</w:t>
                  </w:r>
                  <w:r>
                    <w:rPr>
                      <w:rFonts w:eastAsia="Yu Mincho"/>
                      <w:iCs/>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 xml:space="preserve">DRX cycle </w:t>
                  </w:r>
                  <w:r>
                    <w:rPr>
                      <w:rFonts w:hint="eastAsia" w:eastAsia="Yu Mincho"/>
                      <w:iCs/>
                      <w:lang w:eastAsia="ja-JP"/>
                    </w:rPr>
                    <w:t>≤</w:t>
                  </w:r>
                  <w:r>
                    <w:rPr>
                      <w:rFonts w:eastAsia="Yu Mincho"/>
                      <w:iCs/>
                      <w:lang w:eastAsia="ja-JP"/>
                    </w:rPr>
                    <w:t xml:space="preserve"> 320ms</w:t>
                  </w:r>
                </w:p>
              </w:tc>
              <w:tc>
                <w:tcPr>
                  <w:tcW w:w="4582" w:type="dxa"/>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max(T</w:t>
                  </w:r>
                  <w:r>
                    <w:rPr>
                      <w:rFonts w:eastAsia="Yu Mincho"/>
                      <w:iCs/>
                      <w:vertAlign w:val="subscript"/>
                      <w:lang w:eastAsia="ja-JP"/>
                    </w:rPr>
                    <w:t>Report</w:t>
                  </w:r>
                  <w:r>
                    <w:rPr>
                      <w:rFonts w:eastAsia="Yu Mincho"/>
                      <w:iCs/>
                      <w:lang w:eastAsia="ja-JP"/>
                    </w:rPr>
                    <w:t>, ceil(1.5*M*P*N)*max(T</w:t>
                  </w:r>
                  <w:r>
                    <w:rPr>
                      <w:rFonts w:eastAsia="Yu Mincho"/>
                      <w:iCs/>
                      <w:vertAlign w:val="subscript"/>
                      <w:lang w:eastAsia="ja-JP"/>
                    </w:rPr>
                    <w:t>DRX</w:t>
                  </w:r>
                  <w:r>
                    <w:rPr>
                      <w:rFonts w:eastAsia="Yu Mincho"/>
                      <w:iCs/>
                      <w:lang w:eastAsia="ja-JP"/>
                    </w:rPr>
                    <w:t>,T</w:t>
                  </w:r>
                  <w:r>
                    <w:rPr>
                      <w:rFonts w:eastAsia="Yu Mincho"/>
                      <w:iCs/>
                      <w:vertAlign w:val="subscript"/>
                      <w:lang w:eastAsia="ja-JP"/>
                    </w:rPr>
                    <w:t>SSB</w:t>
                  </w:r>
                  <w:r>
                    <w:rPr>
                      <w:rFonts w:eastAsia="Yu Mincho"/>
                      <w:iCs/>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DRX cycle &gt; 320ms</w:t>
                  </w:r>
                </w:p>
              </w:tc>
              <w:tc>
                <w:tcPr>
                  <w:tcW w:w="4582" w:type="dxa"/>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ceil(1.5*M*P*N)*T</w:t>
                  </w:r>
                  <w:r>
                    <w:rPr>
                      <w:rFonts w:eastAsia="Yu Mincho"/>
                      <w:iCs/>
                      <w:vertAlign w:val="subscript"/>
                      <w:lang w:eastAsia="ja-JP"/>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spacing w:after="120" w:line="240" w:lineRule="auto"/>
                    <w:rPr>
                      <w:rFonts w:eastAsia="Yu Mincho"/>
                      <w:iCs/>
                      <w:lang w:eastAsia="ja-JP"/>
                    </w:rPr>
                  </w:pPr>
                  <w:r>
                    <w:rPr>
                      <w:rFonts w:eastAsia="Yu Mincho"/>
                      <w:iCs/>
                      <w:lang w:eastAsia="ja-JP"/>
                    </w:rPr>
                    <w:t>Note 1:</w:t>
                  </w:r>
                  <w:r>
                    <w:rPr>
                      <w:rFonts w:eastAsia="Yu Mincho"/>
                      <w:iCs/>
                      <w:lang w:eastAsia="ja-JP"/>
                    </w:rPr>
                    <w:tab/>
                  </w:r>
                  <w:r>
                    <w:rPr>
                      <w:rFonts w:eastAsia="Yu Mincho"/>
                      <w:iCs/>
                      <w:lang w:eastAsia="ja-JP"/>
                    </w:rPr>
                    <w:t>T</w:t>
                  </w:r>
                  <w:r>
                    <w:rPr>
                      <w:rFonts w:eastAsia="Yu Mincho"/>
                      <w:iCs/>
                      <w:vertAlign w:val="subscript"/>
                      <w:lang w:eastAsia="ja-JP"/>
                    </w:rPr>
                    <w:t>SSB</w:t>
                  </w:r>
                  <w:r>
                    <w:rPr>
                      <w:rFonts w:eastAsia="Yu Mincho"/>
                      <w:iCs/>
                      <w:lang w:eastAsia="ja-JP"/>
                    </w:rPr>
                    <w:t xml:space="preserve"> = ssb-periodicityServingCell is the periodicity of the SSB-Index configured for L1-RSRP measurement. T</w:t>
                  </w:r>
                  <w:r>
                    <w:rPr>
                      <w:rFonts w:eastAsia="Yu Mincho"/>
                      <w:iCs/>
                      <w:vertAlign w:val="subscript"/>
                      <w:lang w:eastAsia="ja-JP"/>
                    </w:rPr>
                    <w:t xml:space="preserve">DRX </w:t>
                  </w:r>
                  <w:r>
                    <w:rPr>
                      <w:rFonts w:eastAsia="Yu Mincho"/>
                      <w:iCs/>
                      <w:lang w:eastAsia="ja-JP"/>
                    </w:rPr>
                    <w:t>is the DRX cycle length. T</w:t>
                  </w:r>
                  <w:r>
                    <w:rPr>
                      <w:rFonts w:eastAsia="Yu Mincho"/>
                      <w:iCs/>
                      <w:vertAlign w:val="subscript"/>
                      <w:lang w:eastAsia="ja-JP"/>
                    </w:rPr>
                    <w:t>Report</w:t>
                  </w:r>
                  <w:r>
                    <w:rPr>
                      <w:rFonts w:eastAsia="Yu Mincho"/>
                      <w:iCs/>
                      <w:lang w:eastAsia="ja-JP"/>
                    </w:rPr>
                    <w:t xml:space="preserve"> is configured periodicity for reporting.</w:t>
                  </w:r>
                </w:p>
                <w:p>
                  <w:pPr>
                    <w:spacing w:after="120" w:line="240" w:lineRule="auto"/>
                    <w:rPr>
                      <w:rFonts w:eastAsia="Yu Mincho"/>
                      <w:iCs/>
                      <w:lang w:eastAsia="ja-JP"/>
                    </w:rPr>
                  </w:pPr>
                  <w:r>
                    <w:rPr>
                      <w:rFonts w:eastAsia="Yu Mincho"/>
                      <w:iCs/>
                      <w:lang w:eastAsia="ja-JP"/>
                    </w:rPr>
                    <w:t>Note 2:</w:t>
                  </w:r>
                  <w:r>
                    <w:rPr>
                      <w:rFonts w:eastAsia="Yu Mincho"/>
                      <w:iCs/>
                      <w:lang w:eastAsia="ja-JP"/>
                    </w:rPr>
                    <w:tab/>
                  </w:r>
                  <w:r>
                    <w:rPr>
                      <w:rFonts w:eastAsia="Yu Mincho"/>
                      <w:iCs/>
                      <w:lang w:eastAsia="ja-JP"/>
                    </w:rPr>
                    <w:t>N is FFS</w:t>
                  </w:r>
                </w:p>
              </w:tc>
            </w:tr>
          </w:tbl>
          <w:p>
            <w:pPr>
              <w:pStyle w:val="28"/>
              <w:numPr>
                <w:ilvl w:val="0"/>
                <w:numId w:val="0"/>
              </w:numPr>
              <w:spacing w:line="240" w:lineRule="auto"/>
              <w:rPr>
                <w:bCs/>
                <w:lang w:val="en-GB"/>
              </w:rPr>
            </w:pPr>
          </w:p>
          <w:p>
            <w:pPr>
              <w:pStyle w:val="28"/>
              <w:numPr>
                <w:ilvl w:val="0"/>
                <w:numId w:val="6"/>
              </w:numPr>
              <w:spacing w:line="240" w:lineRule="auto"/>
              <w:ind w:left="660" w:leftChars="0"/>
              <w:rPr>
                <w:bCs/>
              </w:rPr>
            </w:pPr>
            <w:r>
              <w:rPr>
                <w:bCs/>
              </w:rPr>
              <w:t>N is FFS</w:t>
            </w:r>
          </w:p>
          <w:p>
            <w:pPr>
              <w:pStyle w:val="28"/>
              <w:numPr>
                <w:ilvl w:val="2"/>
                <w:numId w:val="6"/>
              </w:numPr>
              <w:spacing w:line="240" w:lineRule="auto"/>
              <w:rPr>
                <w:bCs/>
              </w:rPr>
            </w:pPr>
            <w:r>
              <w:rPr>
                <w:bCs/>
              </w:rPr>
              <w:t>Option 1: N = [reduceNumberRxBeam] for UE supporting faster beam sweeping under multi-Rx operations; otherwise N=8. (vivo, OPPO, QC, HW, ZTE, MTK)</w:t>
            </w:r>
          </w:p>
          <w:p>
            <w:pPr>
              <w:pStyle w:val="28"/>
              <w:numPr>
                <w:ilvl w:val="2"/>
                <w:numId w:val="6"/>
              </w:numPr>
              <w:spacing w:line="240" w:lineRule="auto"/>
              <w:rPr>
                <w:bCs/>
              </w:rPr>
            </w:pPr>
            <w:r>
              <w:rPr>
                <w:bCs/>
              </w:rPr>
              <w:t>Option 2: N = 8 + K, where K is the number of SSBs in each CMR set (Apple)</w:t>
            </w:r>
          </w:p>
          <w:p>
            <w:pPr>
              <w:pStyle w:val="28"/>
              <w:numPr>
                <w:ilvl w:val="0"/>
                <w:numId w:val="6"/>
              </w:numPr>
              <w:spacing w:line="240" w:lineRule="auto"/>
              <w:ind w:left="660" w:leftChars="0"/>
              <w:rPr>
                <w:b/>
                <w:bCs/>
                <w:lang w:val="en-US"/>
              </w:rPr>
            </w:pPr>
            <w:r>
              <w:rPr>
                <w:bCs/>
              </w:rPr>
              <w:t>FFS: For CSI-RS based L1-RSRP measurements in FR2, the existing L1-RSRP measurement period is reused when configured for GBBR.</w:t>
            </w:r>
          </w:p>
          <w:p>
            <w:pPr>
              <w:spacing w:line="240" w:lineRule="auto"/>
              <w:rPr>
                <w:b/>
                <w:bCs/>
                <w:szCs w:val="24"/>
                <w:u w:val="single"/>
                <w:lang w:val="en-US"/>
              </w:rPr>
            </w:pPr>
          </w:p>
          <w:p>
            <w:pPr>
              <w:spacing w:line="240" w:lineRule="auto"/>
              <w:rPr>
                <w:b/>
                <w:bCs/>
                <w:szCs w:val="24"/>
                <w:u w:val="single"/>
              </w:rPr>
            </w:pPr>
            <w:r>
              <w:rPr>
                <w:b/>
                <w:bCs/>
                <w:szCs w:val="24"/>
                <w:u w:val="single"/>
              </w:rPr>
              <w:t>Issue 1-2-4: Conditions for to measurement period reduction for L1-RSRP configured for GBBR</w:t>
            </w:r>
          </w:p>
          <w:p>
            <w:pPr>
              <w:spacing w:after="120" w:line="240" w:lineRule="auto"/>
              <w:rPr>
                <w:bCs/>
                <w:szCs w:val="24"/>
                <w:lang w:val="en-US"/>
              </w:rPr>
            </w:pPr>
            <w:r>
              <w:rPr>
                <w:bCs/>
                <w:szCs w:val="24"/>
                <w:highlight w:val="green"/>
                <w:lang w:val="en-US"/>
              </w:rPr>
              <w:t>Agreement</w:t>
            </w:r>
            <w:r>
              <w:rPr>
                <w:bCs/>
                <w:szCs w:val="24"/>
                <w:lang w:val="en-US"/>
              </w:rPr>
              <w:t>:</w:t>
            </w:r>
          </w:p>
          <w:p>
            <w:pPr>
              <w:pStyle w:val="28"/>
              <w:numPr>
                <w:ilvl w:val="1"/>
                <w:numId w:val="6"/>
              </w:numPr>
              <w:autoSpaceDN w:val="0"/>
              <w:adjustRightInd w:val="0"/>
              <w:spacing w:line="240" w:lineRule="auto"/>
            </w:pPr>
            <w:r>
              <w:t>Set of conditions to be considered in the L1 measurement requirements should be discussed in the corresponding requirements by taking agreements we have already made into consideration. No general agreements are needed.</w:t>
            </w:r>
          </w:p>
          <w:p>
            <w:pPr>
              <w:pStyle w:val="28"/>
              <w:numPr>
                <w:ilvl w:val="1"/>
                <w:numId w:val="6"/>
              </w:numPr>
              <w:autoSpaceDN w:val="0"/>
              <w:adjustRightInd w:val="0"/>
              <w:spacing w:line="240" w:lineRule="auto"/>
              <w:rPr>
                <w:lang w:val="en-US"/>
              </w:rPr>
            </w:pPr>
            <w:r>
              <w:t>No need to define conditions of full overlap or partial overlap of RSs in the two resource sets for defining requirements for L1-RSRP configured for group-based beam reporting</w:t>
            </w:r>
          </w:p>
          <w:p>
            <w:pPr>
              <w:pStyle w:val="4"/>
              <w:numPr>
                <w:ilvl w:val="0"/>
                <w:numId w:val="0"/>
              </w:numPr>
              <w:spacing w:line="240" w:lineRule="auto"/>
              <w:rPr>
                <w:lang w:val="en-US"/>
              </w:rPr>
            </w:pPr>
            <w:r>
              <w:rPr>
                <w:sz w:val="24"/>
                <w:szCs w:val="24"/>
                <w:lang w:val="en-US"/>
              </w:rPr>
              <w:t>Sub-topic 1-3: Others</w:t>
            </w:r>
            <w:r>
              <w:rPr>
                <w:lang w:val="en-US"/>
              </w:rPr>
              <w:t xml:space="preserve">  </w:t>
            </w:r>
          </w:p>
          <w:p>
            <w:pPr>
              <w:spacing w:after="120" w:line="240" w:lineRule="auto"/>
              <w:rPr>
                <w:b/>
                <w:u w:val="single"/>
                <w:lang w:eastAsia="ko-KR"/>
              </w:rPr>
            </w:pPr>
            <w:r>
              <w:rPr>
                <w:b/>
                <w:u w:val="single"/>
                <w:lang w:eastAsia="ko-KR"/>
              </w:rPr>
              <w:t>Issue 1-3-2: When UE did not find any beam pair to report</w:t>
            </w:r>
          </w:p>
          <w:p>
            <w:pPr>
              <w:spacing w:after="120" w:line="240" w:lineRule="auto"/>
              <w:rPr>
                <w:bCs/>
                <w:szCs w:val="24"/>
                <w:lang w:val="en-US"/>
              </w:rPr>
            </w:pPr>
            <w:r>
              <w:rPr>
                <w:bCs/>
                <w:szCs w:val="24"/>
                <w:highlight w:val="green"/>
                <w:lang w:val="en-US"/>
              </w:rPr>
              <w:t>Agreement</w:t>
            </w:r>
            <w:r>
              <w:rPr>
                <w:bCs/>
                <w:szCs w:val="24"/>
                <w:lang w:val="en-US"/>
              </w:rPr>
              <w:t>:</w:t>
            </w:r>
          </w:p>
          <w:p>
            <w:pPr>
              <w:pStyle w:val="28"/>
              <w:numPr>
                <w:ilvl w:val="0"/>
                <w:numId w:val="6"/>
              </w:numPr>
              <w:autoSpaceDN w:val="0"/>
              <w:adjustRightInd w:val="0"/>
              <w:spacing w:line="240" w:lineRule="auto"/>
              <w:ind w:left="660" w:leftChars="0"/>
            </w:pPr>
            <w:r>
              <w:t>No new signalling or requirements are defined for the scenario where the UE could not find any pair of beams to report in Rel-18 multi-Rx WI.</w:t>
            </w:r>
          </w:p>
          <w:p>
            <w:pPr>
              <w:spacing w:line="240" w:lineRule="auto"/>
              <w:rPr>
                <w:rFonts w:eastAsia="Yu Mincho"/>
                <w:b/>
                <w:u w:val="single"/>
                <w:lang w:eastAsia="ja-JP"/>
              </w:rPr>
            </w:pPr>
            <w:r>
              <w:rPr>
                <w:rFonts w:eastAsia="Yu Mincho"/>
                <w:b/>
                <w:u w:val="single"/>
                <w:lang w:eastAsia="ja-JP"/>
              </w:rPr>
              <w:t>Issue 1-3-4: Other proposals:</w:t>
            </w:r>
          </w:p>
          <w:p>
            <w:pPr>
              <w:spacing w:after="120" w:line="240" w:lineRule="auto"/>
              <w:rPr>
                <w:bCs/>
                <w:szCs w:val="24"/>
                <w:lang w:val="en-US"/>
              </w:rPr>
            </w:pPr>
            <w:r>
              <w:rPr>
                <w:bCs/>
                <w:szCs w:val="24"/>
                <w:highlight w:val="green"/>
                <w:lang w:val="en-US"/>
              </w:rPr>
              <w:t>Agreement</w:t>
            </w:r>
            <w:r>
              <w:rPr>
                <w:bCs/>
                <w:szCs w:val="24"/>
                <w:lang w:val="en-US"/>
              </w:rPr>
              <w:t>:</w:t>
            </w:r>
          </w:p>
          <w:p>
            <w:pPr>
              <w:pStyle w:val="28"/>
              <w:numPr>
                <w:ilvl w:val="0"/>
                <w:numId w:val="6"/>
              </w:numPr>
              <w:autoSpaceDN w:val="0"/>
              <w:adjustRightInd w:val="0"/>
              <w:spacing w:line="240" w:lineRule="auto"/>
              <w:ind w:left="660" w:leftChars="0"/>
              <w:rPr>
                <w:rFonts w:hint="default" w:ascii="Times New Roman" w:hAnsi="Times New Roman" w:eastAsia="Times New Roman" w:cs="Times New Roman"/>
                <w:bCs/>
                <w:kern w:val="0"/>
                <w:sz w:val="20"/>
                <w:szCs w:val="24"/>
                <w:lang w:val="en-US" w:eastAsia="zh-CN" w:bidi="ar-SA"/>
              </w:rPr>
            </w:pPr>
            <w:r>
              <w:rPr>
                <w:rFonts w:ascii="Calibri" w:hAnsi="Calibri" w:eastAsia="宋体" w:cs="Times New Roman"/>
                <w:kern w:val="2"/>
                <w:sz w:val="21"/>
                <w:szCs w:val="22"/>
                <w:lang w:val="en-US" w:eastAsia="zh-CN" w:bidi="ar-SA"/>
              </w:rPr>
              <w:t>SSB can be configured as QCL source for CSI-RS based Rel-17 group-based beam reporting.</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L1-RSRP measurement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L1-RSRP measurement enhancement under multi-panel Rx, some progress have been achieved, such as the number of samples, the combination of RSs, and the faster beam sweeping. Based on these progress, still some issues are suspending, so we can explore from the following aspects:</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Some general clarification</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strike w:val="0"/>
          <w:dstrike w:val="0"/>
          <w:color w:val="auto"/>
          <w:sz w:val="20"/>
          <w:szCs w:val="20"/>
          <w:lang w:val="en-US" w:eastAsia="zh-CN"/>
        </w:rPr>
      </w:pPr>
      <w:r>
        <w:rPr>
          <w:rFonts w:hint="eastAsia" w:eastAsia="宋体"/>
          <w:strike w:val="0"/>
          <w:dstrike w:val="0"/>
          <w:color w:val="auto"/>
          <w:sz w:val="20"/>
          <w:szCs w:val="20"/>
          <w:lang w:val="en-US" w:eastAsia="zh-CN"/>
        </w:rPr>
        <w:t xml:space="preserve">The enhanced </w:t>
      </w:r>
      <w:r>
        <w:rPr>
          <w:rFonts w:hint="eastAsia" w:eastAsia="宋体"/>
          <w:color w:val="auto"/>
          <w:sz w:val="20"/>
          <w:szCs w:val="20"/>
          <w:lang w:val="en-US" w:eastAsia="zh-CN"/>
        </w:rPr>
        <w:t xml:space="preserve">measurement </w:t>
      </w:r>
      <w:r>
        <w:rPr>
          <w:rFonts w:hint="eastAsia" w:eastAsia="宋体"/>
          <w:strike w:val="0"/>
          <w:dstrike w:val="0"/>
          <w:color w:val="auto"/>
          <w:sz w:val="20"/>
          <w:szCs w:val="20"/>
          <w:lang w:val="en-US" w:eastAsia="zh-CN"/>
        </w:rPr>
        <w:t>requirements for GBBR</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strike w:val="0"/>
          <w:dstrike w:val="0"/>
          <w:color w:val="auto"/>
          <w:sz w:val="20"/>
          <w:szCs w:val="20"/>
          <w:lang w:val="en-US" w:eastAsia="zh-CN"/>
        </w:rPr>
      </w:pPr>
      <w:r>
        <w:rPr>
          <w:rFonts w:hint="eastAsia" w:eastAsia="宋体"/>
          <w:strike w:val="0"/>
          <w:dstrike w:val="0"/>
          <w:color w:val="auto"/>
          <w:sz w:val="20"/>
          <w:szCs w:val="20"/>
          <w:lang w:val="en-US" w:eastAsia="zh-CN"/>
        </w:rPr>
        <w:t xml:space="preserve">The enhanced </w:t>
      </w:r>
      <w:r>
        <w:rPr>
          <w:rFonts w:hint="eastAsia" w:eastAsia="宋体"/>
          <w:color w:val="auto"/>
          <w:sz w:val="20"/>
          <w:szCs w:val="20"/>
          <w:lang w:val="en-US" w:eastAsia="zh-CN"/>
        </w:rPr>
        <w:t xml:space="preserve">measurement </w:t>
      </w:r>
      <w:r>
        <w:rPr>
          <w:rFonts w:hint="eastAsia" w:eastAsia="宋体"/>
          <w:strike w:val="0"/>
          <w:dstrike w:val="0"/>
          <w:color w:val="auto"/>
          <w:sz w:val="20"/>
          <w:szCs w:val="20"/>
          <w:lang w:val="en-US" w:eastAsia="zh-CN"/>
        </w:rPr>
        <w:t>requirements for non-GBBR</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strike w:val="0"/>
          <w:dstrike w:val="0"/>
          <w:color w:val="auto"/>
          <w:sz w:val="20"/>
          <w:szCs w:val="20"/>
          <w:lang w:val="en-US" w:eastAsia="zh-CN"/>
        </w:rPr>
      </w:pPr>
      <w:r>
        <w:rPr>
          <w:rFonts w:hint="eastAsia" w:eastAsia="宋体"/>
          <w:strike w:val="0"/>
          <w:dstrike w:val="0"/>
          <w:color w:val="auto"/>
          <w:sz w:val="20"/>
          <w:szCs w:val="20"/>
          <w:lang w:val="en-US" w:eastAsia="zh-CN"/>
        </w:rPr>
        <w:t>Whether to define the L1-SINR requirements for multi-Rx UE</w:t>
      </w:r>
    </w:p>
    <w:p>
      <w:pPr>
        <w:pStyle w:val="8"/>
        <w:numPr>
          <w:ilvl w:val="0"/>
          <w:numId w:val="8"/>
        </w:numPr>
        <w:tabs>
          <w:tab w:val="left" w:pos="226"/>
          <w:tab w:val="left" w:pos="284"/>
          <w:tab w:val="left" w:pos="5103"/>
        </w:tabs>
        <w:snapToGrid w:val="0"/>
        <w:spacing w:before="156" w:beforeLines="50"/>
        <w:ind w:left="420" w:leftChars="0" w:hanging="420" w:firstLineChars="0"/>
        <w:rPr>
          <w:rFonts w:hint="default" w:eastAsia="宋体"/>
          <w:strike w:val="0"/>
          <w:dstrike w:val="0"/>
          <w:color w:val="auto"/>
          <w:sz w:val="20"/>
          <w:szCs w:val="20"/>
          <w:lang w:val="en-US" w:eastAsia="zh-CN"/>
        </w:rPr>
      </w:pPr>
      <w:r>
        <w:rPr>
          <w:rFonts w:hint="default" w:eastAsia="宋体"/>
          <w:strike w:val="0"/>
          <w:dstrike w:val="0"/>
          <w:color w:val="auto"/>
          <w:sz w:val="20"/>
          <w:szCs w:val="20"/>
          <w:lang w:val="en-US" w:eastAsia="zh-CN"/>
        </w:rPr>
        <w:t>UE behaviour at transitions between single-RX and multi-RX operation modes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Besides all above, some issues were discussed in the measurement restriction and scheduling restriction aspects. So we discuss them in another document from us. </w:t>
      </w:r>
    </w:p>
    <w:p>
      <w:pPr>
        <w:pStyle w:val="3"/>
        <w:bidi w:val="0"/>
        <w:rPr>
          <w:rFonts w:hint="eastAsia" w:eastAsia="宋体"/>
          <w:color w:val="auto"/>
          <w:sz w:val="20"/>
          <w:szCs w:val="20"/>
          <w:lang w:val="en-US" w:eastAsia="zh-CN"/>
        </w:rPr>
      </w:pPr>
      <w:r>
        <w:rPr>
          <w:rFonts w:hint="eastAsia" w:ascii="Helvetica" w:hAnsi="Helvetica" w:eastAsia="宋体" w:cs="Times New Roman"/>
          <w:b/>
          <w:bCs/>
          <w:iCs w:val="0"/>
          <w:color w:val="auto"/>
          <w:kern w:val="32"/>
          <w:sz w:val="28"/>
          <w:szCs w:val="32"/>
          <w:lang w:val="en-US" w:eastAsia="zh-CN" w:bidi="ar-SA"/>
        </w:rPr>
        <w:t>2.1 Some general clarification</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Before go deep into the details, we want to clarify the understanding of L1-RSRP measurement enhancement firstly, so as to make sure companies are on the same page.</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From the perspective of NW configuration, it is possible to configure the UE capable of multi-panel Rx with both the GBBR and non-GBBR. Regarding GBBR, RAN4 has approved the following agreements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52" w:lineRule="auto"/>
              <w:textAlignment w:val="auto"/>
              <w:rPr>
                <w:bCs/>
              </w:rPr>
            </w:pPr>
            <w:r>
              <w:rPr>
                <w:bCs/>
                <w:highlight w:val="green"/>
              </w:rPr>
              <w:t>Agreement</w:t>
            </w:r>
          </w:p>
          <w:p>
            <w:pPr>
              <w:pStyle w:val="28"/>
              <w:keepNext w:val="0"/>
              <w:keepLines w:val="0"/>
              <w:pageBreakBefore w:val="0"/>
              <w:numPr>
                <w:ilvl w:val="1"/>
                <w:numId w:val="6"/>
              </w:numPr>
              <w:kinsoku/>
              <w:wordWrap/>
              <w:overflowPunct/>
              <w:topLinePunct w:val="0"/>
              <w:autoSpaceDE/>
              <w:autoSpaceDN/>
              <w:bidi w:val="0"/>
              <w:adjustRightInd/>
              <w:snapToGrid/>
              <w:spacing w:line="252" w:lineRule="auto"/>
              <w:ind w:firstLineChars="0"/>
              <w:textAlignment w:val="auto"/>
              <w:rPr>
                <w:rFonts w:hint="default" w:eastAsia="宋体"/>
                <w:color w:val="auto"/>
                <w:sz w:val="20"/>
                <w:szCs w:val="20"/>
                <w:vertAlign w:val="baseline"/>
                <w:lang w:val="en-US" w:eastAsia="zh-CN"/>
              </w:rPr>
            </w:pPr>
            <w:r>
              <w:rPr>
                <w:bCs/>
              </w:rPr>
              <w:t xml:space="preserve">GBBR measurement delay requirements will be defined under assumption that UE uses a single Rx panel for measurements at one time instance </w:t>
            </w:r>
          </w:p>
        </w:tc>
      </w:tr>
    </w:tbl>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So it is clear that during the GBBR measurement, it is not assumed that UE can enhance the measurement via simultaneous reception from multiple panels. Even we discuss the exact requirements of GBBR measurement, single Rx panel should be assumed.</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While regarding to the RS used for GBBR measurement, the following agreements approved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line="240" w:lineRule="auto"/>
              <w:rPr>
                <w:bCs/>
                <w:szCs w:val="24"/>
                <w:lang w:val="en-US"/>
              </w:rPr>
            </w:pPr>
            <w:r>
              <w:rPr>
                <w:bCs/>
                <w:szCs w:val="24"/>
                <w:highlight w:val="green"/>
                <w:lang w:val="en-US"/>
              </w:rPr>
              <w:t>Agreement</w:t>
            </w:r>
            <w:r>
              <w:rPr>
                <w:bCs/>
                <w:szCs w:val="24"/>
                <w:lang w:val="en-US"/>
              </w:rPr>
              <w:t>:</w:t>
            </w:r>
          </w:p>
          <w:p>
            <w:pPr>
              <w:pStyle w:val="28"/>
              <w:keepNext w:val="0"/>
              <w:keepLines w:val="0"/>
              <w:pageBreakBefore w:val="0"/>
              <w:numPr>
                <w:ilvl w:val="1"/>
                <w:numId w:val="6"/>
              </w:numPr>
              <w:kinsoku/>
              <w:wordWrap/>
              <w:overflowPunct/>
              <w:topLinePunct w:val="0"/>
              <w:autoSpaceDE/>
              <w:autoSpaceDN/>
              <w:bidi w:val="0"/>
              <w:adjustRightInd/>
              <w:snapToGrid/>
              <w:spacing w:line="240" w:lineRule="auto"/>
              <w:ind w:firstLineChars="0"/>
              <w:textAlignment w:val="auto"/>
              <w:rPr>
                <w:rFonts w:hint="default"/>
                <w:bCs/>
                <w:lang w:val="en-US" w:eastAsia="zh-CN"/>
              </w:rPr>
            </w:pPr>
            <w:r>
              <w:rPr>
                <w:bCs/>
              </w:rPr>
              <w:t>How to configure RS for measurements reported via GBBR is NW implementation. RAN4 not to introduce any configuration restrictions.</w:t>
            </w:r>
          </w:p>
          <w:p>
            <w:pPr>
              <w:spacing w:after="120" w:line="240" w:lineRule="auto"/>
              <w:rPr>
                <w:bCs/>
                <w:szCs w:val="24"/>
                <w:lang w:val="en-US"/>
              </w:rPr>
            </w:pPr>
            <w:r>
              <w:rPr>
                <w:bCs/>
                <w:szCs w:val="24"/>
                <w:highlight w:val="green"/>
                <w:lang w:val="en-US"/>
              </w:rPr>
              <w:t>Agreement</w:t>
            </w:r>
            <w:r>
              <w:rPr>
                <w:bCs/>
                <w:szCs w:val="24"/>
                <w:lang w:val="en-US"/>
              </w:rPr>
              <w:t>:</w:t>
            </w:r>
          </w:p>
          <w:p>
            <w:pPr>
              <w:pStyle w:val="28"/>
              <w:keepNext w:val="0"/>
              <w:keepLines w:val="0"/>
              <w:pageBreakBefore w:val="0"/>
              <w:numPr>
                <w:ilvl w:val="1"/>
                <w:numId w:val="6"/>
              </w:numPr>
              <w:kinsoku/>
              <w:wordWrap/>
              <w:overflowPunct/>
              <w:topLinePunct w:val="0"/>
              <w:autoSpaceDE/>
              <w:autoSpaceDN/>
              <w:bidi w:val="0"/>
              <w:adjustRightInd/>
              <w:snapToGrid/>
              <w:spacing w:line="240" w:lineRule="auto"/>
              <w:ind w:firstLineChars="0"/>
              <w:textAlignment w:val="auto"/>
              <w:rPr>
                <w:rFonts w:hint="default" w:eastAsia="宋体"/>
                <w:color w:val="auto"/>
                <w:sz w:val="20"/>
                <w:szCs w:val="20"/>
                <w:vertAlign w:val="baseline"/>
                <w:lang w:val="en-US" w:eastAsia="zh-CN"/>
              </w:rPr>
            </w:pPr>
            <w:r>
              <w:rPr>
                <w:bCs/>
              </w:rPr>
              <w:t>RAN4 to also consider non-simultaneous RS measurements from different TRPs for Rel-17 group-based L1-RSRP report requirements.</w:t>
            </w:r>
          </w:p>
        </w:tc>
      </w:tr>
    </w:tbl>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 xml:space="preserve">It can be concluded that there is no constraint on the RS configuration from the two sets used for GBBR, either FDM or TDM.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the approved assumption on GBBR measurement delay, during GBBR measurement, a single Rx panel is assumed. UE can not perform simultaneous multi-panel reception for GBBR measurement. While the RS resources used for GBBR can be FDM or TDM, no constraint.</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 xml:space="preserve">Regarding the non-GBBR measurement, some company may call it as the L1 measurement after UE send GBBR report, or it can be called as the </w:t>
      </w:r>
      <w:r>
        <w:rPr>
          <w:rFonts w:hint="default" w:eastAsia="宋体"/>
          <w:color w:val="auto"/>
          <w:sz w:val="20"/>
          <w:szCs w:val="20"/>
          <w:lang w:val="en-US" w:eastAsia="zh-CN"/>
        </w:rPr>
        <w:t>“</w:t>
      </w:r>
      <w:r>
        <w:rPr>
          <w:rFonts w:hint="eastAsia" w:eastAsia="宋体"/>
          <w:color w:val="auto"/>
          <w:sz w:val="20"/>
          <w:szCs w:val="20"/>
          <w:lang w:val="en-US" w:eastAsia="zh-CN"/>
        </w:rPr>
        <w:t>L1-RSRP measurement on top of GBBR</w:t>
      </w:r>
      <w:r>
        <w:rPr>
          <w:rFonts w:hint="default" w:eastAsia="宋体"/>
          <w:color w:val="auto"/>
          <w:sz w:val="20"/>
          <w:szCs w:val="20"/>
          <w:lang w:val="en-US" w:eastAsia="zh-CN"/>
        </w:rPr>
        <w:t>”</w:t>
      </w:r>
      <w:r>
        <w:rPr>
          <w:rFonts w:hint="eastAsia" w:eastAsia="宋体"/>
          <w:color w:val="auto"/>
          <w:sz w:val="20"/>
          <w:szCs w:val="20"/>
          <w:lang w:val="en-US" w:eastAsia="zh-CN"/>
        </w:rPr>
        <w:t>. During such measurement, sine the beam pair(s) have been reported to NW, so it is possible for UE to achieve simultaneous multi-panel reception from multiple TRPs during two parallel measurements or the the measurement plus data. Whereas all of these simultaneous multi-panel reception is hard to enhance the measurement period itself, only captured at the measurement/scheduling restriction relaxation. Of course the relevant conditions concluded in measurement/scheduling restriction relaxation still needed.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the non-GBBR L1-RSRP measurement, UE is capable to receive multiple L1-RSRP RSs from multiple TRPs simultaneously through multiple panels.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Furthermore, the faster beam sweeping based on UE capability has already approved. To our understanding, for the capable UE, the faster beam sweeping is allowed for both GBBR and non-GBBR measurements since such enhancement is only regarding the Rx beam training within a single TRP at a time. Of course such enhancement would reduce the measurement period, so it should be captured into both the requirements of GBBR measurement and non-GBBR measurement.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Faster beam sweeping could enhance the requirements of measurement period, including both GBBR and non-GBBR measurement.</w:t>
      </w:r>
    </w:p>
    <w:p>
      <w:pPr>
        <w:pStyle w:val="3"/>
        <w:bidi w:val="0"/>
        <w:rPr>
          <w:rFonts w:hint="default" w:eastAsia="宋体" w:cs="Times New Roman"/>
          <w:b/>
          <w:bCs/>
          <w:iCs w:val="0"/>
          <w:strike w:val="0"/>
          <w:dstrike w:val="0"/>
          <w:color w:val="auto"/>
          <w:kern w:val="32"/>
          <w:sz w:val="28"/>
          <w:szCs w:val="32"/>
          <w:lang w:val="en-US" w:eastAsia="zh-CN" w:bidi="ar-SA"/>
        </w:rPr>
      </w:pPr>
      <w:r>
        <w:rPr>
          <w:rFonts w:hint="eastAsia" w:ascii="Helvetica" w:hAnsi="Helvetica" w:eastAsia="宋体" w:cs="Times New Roman"/>
          <w:b/>
          <w:bCs/>
          <w:iCs w:val="0"/>
          <w:strike w:val="0"/>
          <w:dstrike w:val="0"/>
          <w:color w:val="auto"/>
          <w:kern w:val="32"/>
          <w:sz w:val="28"/>
          <w:szCs w:val="32"/>
          <w:lang w:val="en-US" w:eastAsia="zh-CN" w:bidi="ar-SA"/>
        </w:rPr>
        <w:t>2.</w:t>
      </w:r>
      <w:r>
        <w:rPr>
          <w:rFonts w:hint="eastAsia" w:eastAsia="宋体" w:cs="Times New Roman"/>
          <w:b/>
          <w:bCs/>
          <w:iCs w:val="0"/>
          <w:strike w:val="0"/>
          <w:dstrike w:val="0"/>
          <w:color w:val="auto"/>
          <w:kern w:val="32"/>
          <w:sz w:val="28"/>
          <w:szCs w:val="32"/>
          <w:lang w:val="en-US" w:eastAsia="zh-CN" w:bidi="ar-SA"/>
        </w:rPr>
        <w:t>2</w:t>
      </w:r>
      <w:r>
        <w:rPr>
          <w:rFonts w:hint="eastAsia" w:ascii="Helvetica" w:hAnsi="Helvetica" w:eastAsia="宋体" w:cs="Times New Roman"/>
          <w:b/>
          <w:bCs/>
          <w:iCs w:val="0"/>
          <w:strike w:val="0"/>
          <w:dstrike w:val="0"/>
          <w:color w:val="auto"/>
          <w:kern w:val="32"/>
          <w:sz w:val="28"/>
          <w:szCs w:val="32"/>
          <w:lang w:val="en-US" w:eastAsia="zh-CN" w:bidi="ar-SA"/>
        </w:rPr>
        <w:t xml:space="preserve"> </w:t>
      </w:r>
      <w:r>
        <w:rPr>
          <w:rFonts w:hint="eastAsia" w:eastAsia="宋体" w:cs="Times New Roman"/>
          <w:b/>
          <w:bCs/>
          <w:iCs w:val="0"/>
          <w:strike w:val="0"/>
          <w:dstrike w:val="0"/>
          <w:color w:val="auto"/>
          <w:kern w:val="32"/>
          <w:sz w:val="28"/>
          <w:szCs w:val="32"/>
          <w:lang w:val="en-US" w:eastAsia="zh-CN" w:bidi="ar-SA"/>
        </w:rPr>
        <w:t>The enhanced measurement requirements for GBBR</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following agreements were achieved in last meeting regarding the measurement requirement of GBBR.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6"/>
              </w:numPr>
              <w:overflowPunct w:val="0"/>
              <w:autoSpaceDE w:val="0"/>
              <w:autoSpaceDN w:val="0"/>
              <w:adjustRightInd w:val="0"/>
              <w:spacing w:line="252" w:lineRule="auto"/>
              <w:ind w:left="360" w:leftChars="0" w:firstLineChars="0"/>
              <w:rPr>
                <w:bCs/>
              </w:rPr>
            </w:pPr>
            <w:r>
              <w:rPr>
                <w:bCs/>
                <w:highlight w:val="green"/>
              </w:rPr>
              <w:t>Agreements</w:t>
            </w:r>
          </w:p>
          <w:p>
            <w:pPr>
              <w:pStyle w:val="28"/>
              <w:numPr>
                <w:ilvl w:val="0"/>
                <w:numId w:val="6"/>
              </w:numPr>
              <w:ind w:left="660" w:leftChars="0"/>
              <w:rPr>
                <w:bCs/>
              </w:rPr>
            </w:pPr>
            <w:r>
              <w:rPr>
                <w:bCs/>
              </w:rPr>
              <w:t>For SSB based L1-RSRP measurements in FR2 the measurement period for GBBR defined as: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ind w:left="1296"/>
                    <w:rPr>
                      <w:rFonts w:eastAsia="Yu Mincho"/>
                      <w:iCs/>
                      <w:lang w:eastAsia="ja-JP"/>
                    </w:rPr>
                  </w:pPr>
                  <w:r>
                    <w:rPr>
                      <w:rFonts w:eastAsia="Yu Mincho"/>
                      <w:iCs/>
                      <w:lang w:eastAsia="ja-JP"/>
                    </w:rPr>
                    <w:t>Configuration</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TL1-RSRP_Measurement_Period_SSB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non-DRX</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max(T</w:t>
                  </w:r>
                  <w:r>
                    <w:rPr>
                      <w:rFonts w:eastAsia="Yu Mincho"/>
                      <w:iCs/>
                      <w:vertAlign w:val="subscript"/>
                      <w:lang w:eastAsia="ja-JP"/>
                    </w:rPr>
                    <w:t>Report</w:t>
                  </w:r>
                  <w:r>
                    <w:rPr>
                      <w:rFonts w:eastAsia="Yu Mincho"/>
                      <w:iCs/>
                      <w:lang w:eastAsia="ja-JP"/>
                    </w:rPr>
                    <w:t>, ceil(M*P*N)*T</w:t>
                  </w:r>
                  <w:r>
                    <w:rPr>
                      <w:rFonts w:eastAsia="Yu Mincho"/>
                      <w:iCs/>
                      <w:vertAlign w:val="subscript"/>
                      <w:lang w:eastAsia="ja-JP"/>
                    </w:rPr>
                    <w:t>SSB</w:t>
                  </w:r>
                  <w:r>
                    <w:rPr>
                      <w:rFonts w:eastAsia="Yu Mincho"/>
                      <w:iCs/>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 xml:space="preserve">DRX cycle </w:t>
                  </w:r>
                  <w:r>
                    <w:rPr>
                      <w:rFonts w:hint="eastAsia" w:eastAsia="Yu Mincho"/>
                      <w:iCs/>
                      <w:lang w:eastAsia="ja-JP"/>
                    </w:rPr>
                    <w:t>≤</w:t>
                  </w:r>
                  <w:r>
                    <w:rPr>
                      <w:rFonts w:eastAsia="Yu Mincho"/>
                      <w:iCs/>
                      <w:lang w:eastAsia="ja-JP"/>
                    </w:rPr>
                    <w:t xml:space="preserve"> 320ms</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max(T</w:t>
                  </w:r>
                  <w:r>
                    <w:rPr>
                      <w:rFonts w:eastAsia="Yu Mincho"/>
                      <w:iCs/>
                      <w:vertAlign w:val="subscript"/>
                      <w:lang w:eastAsia="ja-JP"/>
                    </w:rPr>
                    <w:t>Report</w:t>
                  </w:r>
                  <w:r>
                    <w:rPr>
                      <w:rFonts w:eastAsia="Yu Mincho"/>
                      <w:iCs/>
                      <w:lang w:eastAsia="ja-JP"/>
                    </w:rPr>
                    <w:t>, ceil(1.5*M*P*N)*max(T</w:t>
                  </w:r>
                  <w:r>
                    <w:rPr>
                      <w:rFonts w:eastAsia="Yu Mincho"/>
                      <w:iCs/>
                      <w:vertAlign w:val="subscript"/>
                      <w:lang w:eastAsia="ja-JP"/>
                    </w:rPr>
                    <w:t>DRX</w:t>
                  </w:r>
                  <w:r>
                    <w:rPr>
                      <w:rFonts w:eastAsia="Yu Mincho"/>
                      <w:iCs/>
                      <w:lang w:eastAsia="ja-JP"/>
                    </w:rPr>
                    <w:t>,T</w:t>
                  </w:r>
                  <w:r>
                    <w:rPr>
                      <w:rFonts w:eastAsia="Yu Mincho"/>
                      <w:iCs/>
                      <w:vertAlign w:val="subscript"/>
                      <w:lang w:eastAsia="ja-JP"/>
                    </w:rPr>
                    <w:t>SSB</w:t>
                  </w:r>
                  <w:r>
                    <w:rPr>
                      <w:rFonts w:eastAsia="Yu Mincho"/>
                      <w:iCs/>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DRX cycle &gt; 320ms</w:t>
                  </w:r>
                </w:p>
              </w:tc>
              <w:tc>
                <w:tcPr>
                  <w:tcW w:w="4582" w:type="dxa"/>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ceil(1.5*M*P*N)*T</w:t>
                  </w:r>
                  <w:r>
                    <w:rPr>
                      <w:rFonts w:eastAsia="Yu Mincho"/>
                      <w:iCs/>
                      <w:vertAlign w:val="subscript"/>
                      <w:lang w:eastAsia="ja-JP"/>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spacing w:after="120"/>
                    <w:rPr>
                      <w:rFonts w:eastAsia="Yu Mincho"/>
                      <w:iCs/>
                      <w:lang w:eastAsia="ja-JP"/>
                    </w:rPr>
                  </w:pPr>
                  <w:r>
                    <w:rPr>
                      <w:rFonts w:eastAsia="Yu Mincho"/>
                      <w:iCs/>
                      <w:lang w:eastAsia="ja-JP"/>
                    </w:rPr>
                    <w:t>Note 1:</w:t>
                  </w:r>
                  <w:r>
                    <w:rPr>
                      <w:rFonts w:eastAsia="Yu Mincho"/>
                      <w:iCs/>
                      <w:lang w:eastAsia="ja-JP"/>
                    </w:rPr>
                    <w:tab/>
                  </w:r>
                  <w:r>
                    <w:rPr>
                      <w:rFonts w:eastAsia="Yu Mincho"/>
                      <w:iCs/>
                      <w:lang w:eastAsia="ja-JP"/>
                    </w:rPr>
                    <w:t>T</w:t>
                  </w:r>
                  <w:r>
                    <w:rPr>
                      <w:rFonts w:eastAsia="Yu Mincho"/>
                      <w:iCs/>
                      <w:vertAlign w:val="subscript"/>
                      <w:lang w:eastAsia="ja-JP"/>
                    </w:rPr>
                    <w:t>SSB</w:t>
                  </w:r>
                  <w:r>
                    <w:rPr>
                      <w:rFonts w:eastAsia="Yu Mincho"/>
                      <w:iCs/>
                      <w:lang w:eastAsia="ja-JP"/>
                    </w:rPr>
                    <w:t xml:space="preserve"> = ssb-periodicityServingCell is the periodicity of the SSB-Index configured for L1-RSRP measurement. T</w:t>
                  </w:r>
                  <w:r>
                    <w:rPr>
                      <w:rFonts w:eastAsia="Yu Mincho"/>
                      <w:iCs/>
                      <w:vertAlign w:val="subscript"/>
                      <w:lang w:eastAsia="ja-JP"/>
                    </w:rPr>
                    <w:t xml:space="preserve">DRX </w:t>
                  </w:r>
                  <w:r>
                    <w:rPr>
                      <w:rFonts w:eastAsia="Yu Mincho"/>
                      <w:iCs/>
                      <w:lang w:eastAsia="ja-JP"/>
                    </w:rPr>
                    <w:t>is the DRX cycle length. T</w:t>
                  </w:r>
                  <w:r>
                    <w:rPr>
                      <w:rFonts w:eastAsia="Yu Mincho"/>
                      <w:iCs/>
                      <w:vertAlign w:val="subscript"/>
                      <w:lang w:eastAsia="ja-JP"/>
                    </w:rPr>
                    <w:t>Report</w:t>
                  </w:r>
                  <w:r>
                    <w:rPr>
                      <w:rFonts w:eastAsia="Yu Mincho"/>
                      <w:iCs/>
                      <w:lang w:eastAsia="ja-JP"/>
                    </w:rPr>
                    <w:t xml:space="preserve"> is configured periodicity for reporting.</w:t>
                  </w:r>
                </w:p>
                <w:p>
                  <w:pPr>
                    <w:spacing w:after="120"/>
                    <w:rPr>
                      <w:rFonts w:hint="default" w:eastAsia="宋体"/>
                      <w:iCs/>
                      <w:lang w:val="en-US" w:eastAsia="zh-CN"/>
                    </w:rPr>
                  </w:pPr>
                  <w:r>
                    <w:rPr>
                      <w:rFonts w:eastAsia="Yu Mincho"/>
                      <w:iCs/>
                      <w:lang w:eastAsia="ja-JP"/>
                    </w:rPr>
                    <w:t>Note 2:</w:t>
                  </w:r>
                  <w:r>
                    <w:rPr>
                      <w:rFonts w:eastAsia="Yu Mincho"/>
                      <w:iCs/>
                      <w:lang w:eastAsia="ja-JP"/>
                    </w:rPr>
                    <w:tab/>
                  </w:r>
                  <w:r>
                    <w:rPr>
                      <w:rFonts w:eastAsia="Yu Mincho"/>
                      <w:iCs/>
                      <w:lang w:eastAsia="ja-JP"/>
                    </w:rPr>
                    <w:t>N is FFS</w:t>
                  </w:r>
                  <w:r>
                    <w:rPr>
                      <w:rFonts w:hint="eastAsia" w:eastAsia="宋体"/>
                      <w:iCs/>
                      <w:lang w:val="en-US" w:eastAsia="zh-CN"/>
                    </w:rPr>
                    <w:t xml:space="preserve">  </w:t>
                  </w:r>
                </w:p>
              </w:tc>
            </w:tr>
          </w:tbl>
          <w:p>
            <w:pPr>
              <w:pStyle w:val="28"/>
              <w:numPr>
                <w:ilvl w:val="0"/>
                <w:numId w:val="6"/>
              </w:numPr>
              <w:ind w:left="660" w:leftChars="0"/>
              <w:rPr>
                <w:bCs/>
              </w:rPr>
            </w:pPr>
            <w:r>
              <w:rPr>
                <w:bCs/>
              </w:rPr>
              <w:t>N is FFS</w:t>
            </w:r>
          </w:p>
          <w:p>
            <w:pPr>
              <w:pStyle w:val="28"/>
              <w:numPr>
                <w:ilvl w:val="1"/>
                <w:numId w:val="6"/>
              </w:numPr>
              <w:ind w:left="1380" w:leftChars="0"/>
              <w:rPr>
                <w:bCs/>
              </w:rPr>
            </w:pPr>
            <w:r>
              <w:rPr>
                <w:bCs/>
              </w:rPr>
              <w:t xml:space="preserve">Option 1: N = [reduceNumberRxBeam] for UE supporting faster beam sweeping under multi-Rx operations; otherwise N=8. </w:t>
            </w:r>
          </w:p>
          <w:p>
            <w:pPr>
              <w:pStyle w:val="28"/>
              <w:numPr>
                <w:ilvl w:val="1"/>
                <w:numId w:val="6"/>
              </w:numPr>
              <w:ind w:left="1380" w:leftChars="0"/>
              <w:rPr>
                <w:bCs/>
              </w:rPr>
            </w:pPr>
            <w:r>
              <w:rPr>
                <w:bCs/>
              </w:rPr>
              <w:t xml:space="preserve">Option 2: N = 8 + K, where K is the number of SSBs in each CMR set </w:t>
            </w:r>
          </w:p>
          <w:p>
            <w:pPr>
              <w:pStyle w:val="28"/>
              <w:numPr>
                <w:ilvl w:val="0"/>
                <w:numId w:val="6"/>
              </w:numPr>
              <w:ind w:left="660" w:leftChars="0"/>
              <w:rPr>
                <w:rFonts w:hint="default" w:eastAsia="宋体"/>
                <w:color w:val="auto"/>
                <w:sz w:val="20"/>
                <w:szCs w:val="20"/>
                <w:vertAlign w:val="baseline"/>
                <w:lang w:val="en-US" w:eastAsia="zh-CN"/>
              </w:rPr>
            </w:pPr>
            <w:r>
              <w:rPr>
                <w:bCs/>
              </w:rPr>
              <w:t>FFS: For CSI-RS based L1-RSRP measurements in FR2, the existing L1-RSRP measurement period is reused when configured for GBBR.</w:t>
            </w:r>
            <w:r>
              <w:rPr>
                <w:rFonts w:hint="eastAsia"/>
                <w:bCs/>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original intention is to only capture the enhancement of faster beam sweeping into the requirement of GBBR, Option 1 is a direct expression of the faster beam sweeping.While still some company has different view on the UE behavior during the GBBR measurement, so Option 2 is also discussed. We are not very sure about the UE behavior under Option 2, it seems that longer measurement period is needed for Option 2. Which is far away from the intention of applying multi-panel Rx.</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2: Regarding the measurement period of GBBR, prefer Option 1, i.e. capture the faster beam sweeping into 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the CSI-RS based L1-RSRP measurement for GBBR, no Rx beam sweeping is performed given that the higher layer parameter repetition set to OFF, very limited Rx beam sweeping is performed provided that the higher layer parameter repetition set to ON, so no need to consider the enhancement of fast beam sweeping, directly reuse the existing L1-RSRP measurement period is fine.</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Proposal 3: For CSI-RS based L1-RSRP measurements in FR2, the existing L1-RSRP measurement period is reused when configured for GBBR. </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enhanced measurement requirements for non-GBBR</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For the non-GBBR measurement, since of simultaneous multi-panel reception from multiple TRPs, the UE is capable of receive simultaneous RS+RS or RS+Data based on pair beams, so the scheduling restriction and measurement restriction can be relaxed provided that the relevant conditions are met. While such enhancement has not any impact on the measurement period. </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On the other hand, the enhancement of fast beam sweeping of course can be applied for non-GBBR measurement if the UE supporting the capability. So similar as the enhanced measurement period for GBBR, the scaling factor N can be enhanced for non-GBBR on top of legacy L1-RSRP measurement period, as shown in Table 1.</w:t>
      </w:r>
    </w:p>
    <w:p>
      <w:pPr>
        <w:pStyle w:val="36"/>
      </w:pPr>
      <w:r>
        <w:rPr>
          <w:rFonts w:hint="eastAsia"/>
          <w:lang w:val="en-US" w:eastAsia="zh-CN"/>
        </w:rPr>
        <w:t xml:space="preserve">Table 1. </w:t>
      </w:r>
      <w:r>
        <w:t xml:space="preserve">SSB based L1-RSRP measurements in FR2 the measurement period for </w:t>
      </w:r>
      <w:r>
        <w:rPr>
          <w:rFonts w:hint="eastAsia"/>
          <w:lang w:val="en-US" w:eastAsia="zh-CN"/>
        </w:rPr>
        <w:t>non-</w:t>
      </w:r>
      <w:r>
        <w:t>GBBR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3"/>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4"/>
            </w:pPr>
            <w:r>
              <w:t>non-DRX</w:t>
            </w:r>
          </w:p>
        </w:tc>
        <w:tc>
          <w:tcPr>
            <w:tcW w:w="4582" w:type="dxa"/>
            <w:tcBorders>
              <w:top w:val="single" w:color="auto" w:sz="4" w:space="0"/>
              <w:left w:val="single" w:color="auto" w:sz="4" w:space="0"/>
              <w:bottom w:val="single" w:color="auto" w:sz="4" w:space="0"/>
              <w:right w:val="single" w:color="auto" w:sz="4" w:space="0"/>
            </w:tcBorders>
          </w:tcPr>
          <w:p>
            <w:pPr>
              <w:pStyle w:val="34"/>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4"/>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4"/>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2"/>
            </w:pPr>
            <w:r>
              <w:t>Note</w:t>
            </w:r>
            <w:r>
              <w:rPr>
                <w:rFonts w:hint="eastAsia"/>
                <w:lang w:val="en-US" w:eastAsia="zh-CN"/>
              </w:rPr>
              <w:t xml:space="preserve"> 1</w:t>
            </w:r>
            <w:r>
              <w:t>:</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52"/>
              <w:rPr>
                <w:rFonts w:hint="default" w:eastAsia="宋体"/>
                <w:lang w:val="en-US" w:eastAsia="zh-CN"/>
              </w:rPr>
            </w:pPr>
            <w:r>
              <w:rPr>
                <w:rFonts w:hint="eastAsia"/>
                <w:lang w:val="en-US" w:eastAsia="zh-CN"/>
              </w:rPr>
              <w:t xml:space="preserve">Note 2:   </w:t>
            </w:r>
            <w:r>
              <w:rPr>
                <w:bCs/>
              </w:rPr>
              <w:t xml:space="preserve">N = [reduceNumberRxBeam] for UE supporting faster beam sweeping under multi-Rx operations; otherwise N=8. </w:t>
            </w:r>
          </w:p>
        </w:tc>
      </w:tr>
    </w:tbl>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SSB based non-GBBR measurement, the scheduling restriction and measurement restriction can be relaxed provided the relevant condition are met. The N can be enhanced by fast beam sweeping.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CSI-RS based L1-RSRP measurement for non-GBBR, same analysis as above for GBBR.</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Proposal 5: For CSI-RS based L1-RSRP measurements in FR2, the existing L1-RSRP measurement period is reused when configured for non-GBBR. </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Whether to define the L1-SINR requirements for multi-Rx UE</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This issue was discussed in last meeting while no conclusion achieved. Since R17 GBBR only considers the L1-RSRP measurement and report, not referring to L1-SINR measurement and report. Therefore for L1-SINR requirement, only need to consider the L1-SINR requirements for non-GBBR measurement.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From the perspective of measurement period, the requirement for L1-RSRP measurement and that for L1-SINR measurement are similar, so it is reasonable to leverage the enhancement for L1-RSRP measurement to the L1-SINR measurement. In detail, the fast beam sweeping can be applied for L1-SINR measurement for non-GBBR.</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6: Changes in non-group-based L1-RSRP measurement delay due to multi Rx operation are also considered for L1-SINR</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UE behaviour at transitions between single-RX and multi-RX operation modes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 xml:space="preserve">Based on our analysis in Section 2.2 and 2.3, only one common enhancement for both GBBR measurement and non-GBBR measurement is suggested by us, i.e. the fast beam sweeping for the capable UE. To reflect such enhancement, the straightforward way is to reduce the number of N in the measurement period. </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While regarding the enhancement of fast beam sweeping itself, firstly we should clarify whether the fast beam sweeping is impacted by the switch between single Rx operation and multi-Rx operation. To our understanding, the operation of fast beam sweeping means the UE has some prior info about the mapping between the panels and the beam directions, so less beam sweeping factor is needed. Referring to the transition between single-Rx and multi-Rx operation, for the sake of power saving or overheating avoidance, NW may indicate the UE to switch between the two modes. Such transition is not always accompanied by the ineffectiveness of the mapping between the panels and the beam directions, so even the operation mode transit from multi-Rx mode to single-Rx mode, as long as the mapping between the panels and the beam directions unchanged, then fast beam sweeping is still can be applied.</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Fast beam sweeping can be realized due to UE has some prior info about the mapping between the panels and the beam directions.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The transition between single-RX and multi-RX operation modes does not always mean the ineffectiveness of the mapping between the panels and the beam directions.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As long as the mapping between the panels and the beam directions unchanged, then fast beam sweeping is still can be applied, aligned measurement period requirement can be assumed for the single-Rx and multi-Rx operation modes given that only fast beam sweeping is captured into the enhanced requirement of measurement period.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L1-RSRP measurement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the approved assumption on GBBR measurement delay, during GBBR measurement, a single Rx panel is assumed. UE can not perform simultaneous multi-panel reception for GBBR measurement. While the RS resources used for GBBR can be FDM or TDM, no constraint.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the non-GBBR L1-RSRP measurement, UE is capable to receive multiple L1-RSRP RSs from multiple TRPs simultaneously through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Faster beam sweeping could enhance the requirements of measurement period, including both GBBR and non-GBBR measurement.</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2: Regarding the measurement period of GBBR, prefer Option 1, i.e. capture the faster beam sweeping into N.</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Proposal 3: For CSI-RS based L1-RSRP measurements in FR2, the existing L1-RSRP measurement period is reused when configured for GBBR.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SSB based non-GBBR measurement, the scheduling restriction and measurement restriction can be relaxed provided the relevant condition are met. The N can be enhanced by fast beam sweeping.</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Proposal 5: For CSI-RS based L1-RSRP measurements in FR2, the existing L1-RSRP measurement period is reused when configured for non-GBBR. </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6: Changes in non-group-based L1-RSRP measurement delay due to multi Rx operation are also considered for L1-SINR</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Fast beam sweeping can be realized due to UE has some prior info about the mapping between the panels and the beam directions.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The transition between single-RX and multi-RX operation modes does not always mean the ineffectiveness of the mapping between the panels and the beam directions.</w:t>
      </w:r>
    </w:p>
    <w:p>
      <w:pPr>
        <w:pStyle w:val="8"/>
        <w:tabs>
          <w:tab w:val="left" w:pos="226"/>
          <w:tab w:val="left" w:pos="284"/>
          <w:tab w:val="left" w:pos="5103"/>
        </w:tabs>
        <w:snapToGrid w:val="0"/>
        <w:spacing w:before="156" w:beforeLines="50"/>
      </w:pPr>
      <w:r>
        <w:rPr>
          <w:rFonts w:hint="eastAsia" w:eastAsia="宋体" w:cs="Times New Roman"/>
          <w:b/>
          <w:bCs/>
          <w:color w:val="auto"/>
          <w:sz w:val="20"/>
          <w:szCs w:val="20"/>
          <w:highlight w:val="none"/>
          <w:lang w:val="en-US" w:eastAsia="zh-CN" w:bidi="ar-SA"/>
        </w:rPr>
        <w:t>Proposal 7: As long as the mapping between the panels and the beam directions unchanged, then fast beam sweeping is still can be applied, aligned measurement period requirement can be assumed for the single-Rx and multi-Rx operation modes given that only fast beam sweeping is captured into the enhanced requirement of measurement period.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9"/>
        </w:numPr>
        <w:ind w:leftChars="0"/>
        <w:rPr>
          <w:rFonts w:hint="eastAsia"/>
          <w:color w:val="auto"/>
          <w:highlight w:val="none"/>
          <w:lang w:val="en-US" w:eastAsia="zh-CN"/>
        </w:rPr>
      </w:pPr>
      <w:r>
        <w:rPr>
          <w:rFonts w:hint="eastAsia"/>
          <w:color w:val="auto"/>
          <w:highlight w:val="none"/>
          <w:lang w:val="en-US" w:eastAsia="zh-CN"/>
        </w:rPr>
        <w:t xml:space="preserve">R4-2314283 </w:t>
      </w:r>
      <w:r>
        <w:rPr>
          <w:rFonts w:hint="default"/>
          <w:color w:val="auto"/>
          <w:highlight w:val="none"/>
          <w:lang w:val="en-US" w:eastAsia="zh-CN"/>
        </w:rPr>
        <w:t>“</w:t>
      </w:r>
      <w:r>
        <w:rPr>
          <w:rFonts w:hint="eastAsia"/>
          <w:color w:val="auto"/>
          <w:highlight w:val="none"/>
          <w:lang w:val="en-US" w:eastAsia="zh-CN"/>
        </w:rPr>
        <w:t>WF on FR2 multi-Rx chain DL reception (part2)</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751B5"/>
    <w:multiLevelType w:val="singleLevel"/>
    <w:tmpl w:val="876751B5"/>
    <w:lvl w:ilvl="0" w:tentative="0">
      <w:start w:val="1"/>
      <w:numFmt w:val="bullet"/>
      <w:lvlText w:val=""/>
      <w:lvlJc w:val="left"/>
      <w:pPr>
        <w:ind w:left="420" w:hanging="420"/>
      </w:pPr>
      <w:rPr>
        <w:rFonts w:hint="default" w:ascii="Wingdings" w:hAnsi="Wingdings"/>
      </w:rPr>
    </w:lvl>
  </w:abstractNum>
  <w:abstractNum w:abstractNumId="1">
    <w:nsid w:val="A8E5EB3A"/>
    <w:multiLevelType w:val="singleLevel"/>
    <w:tmpl w:val="A8E5EB3A"/>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7552EDE"/>
    <w:multiLevelType w:val="singleLevel"/>
    <w:tmpl w:val="37552EDE"/>
    <w:lvl w:ilvl="0" w:tentative="0">
      <w:start w:val="1"/>
      <w:numFmt w:val="bullet"/>
      <w:lvlText w:val=""/>
      <w:lvlJc w:val="left"/>
      <w:pPr>
        <w:ind w:left="42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8"/>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5"/>
  </w:num>
  <w:num w:numId="3">
    <w:abstractNumId w:val="6"/>
  </w:num>
  <w:num w:numId="4">
    <w:abstractNumId w:val="2"/>
  </w:num>
  <w:num w:numId="5">
    <w:abstractNumId w:val="4"/>
  </w:num>
  <w:num w:numId="6">
    <w:abstractNumId w:val="7"/>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D25E9"/>
    <w:rsid w:val="02122247"/>
    <w:rsid w:val="02150C3F"/>
    <w:rsid w:val="022C3A09"/>
    <w:rsid w:val="0246140E"/>
    <w:rsid w:val="028B6A1D"/>
    <w:rsid w:val="028F1C3E"/>
    <w:rsid w:val="037D0CB3"/>
    <w:rsid w:val="03D230A8"/>
    <w:rsid w:val="03D4720A"/>
    <w:rsid w:val="03E04DEA"/>
    <w:rsid w:val="04151694"/>
    <w:rsid w:val="04654053"/>
    <w:rsid w:val="04793516"/>
    <w:rsid w:val="047A3CFF"/>
    <w:rsid w:val="04885243"/>
    <w:rsid w:val="048E28D9"/>
    <w:rsid w:val="05317828"/>
    <w:rsid w:val="05477E90"/>
    <w:rsid w:val="05BB5AB9"/>
    <w:rsid w:val="05C42923"/>
    <w:rsid w:val="05F562DB"/>
    <w:rsid w:val="066F3C18"/>
    <w:rsid w:val="06963BA6"/>
    <w:rsid w:val="06965F3C"/>
    <w:rsid w:val="07CD3CDD"/>
    <w:rsid w:val="07ED21CA"/>
    <w:rsid w:val="084B363C"/>
    <w:rsid w:val="0855671D"/>
    <w:rsid w:val="089009EB"/>
    <w:rsid w:val="09716BCA"/>
    <w:rsid w:val="098C1CEA"/>
    <w:rsid w:val="09902DFD"/>
    <w:rsid w:val="09D64B23"/>
    <w:rsid w:val="09E644B8"/>
    <w:rsid w:val="0B12013A"/>
    <w:rsid w:val="0B12526E"/>
    <w:rsid w:val="0B1C5C6A"/>
    <w:rsid w:val="0B243EFB"/>
    <w:rsid w:val="0B3D3C2F"/>
    <w:rsid w:val="0B5D15B4"/>
    <w:rsid w:val="0B680E37"/>
    <w:rsid w:val="0BAC06FA"/>
    <w:rsid w:val="0BB0429A"/>
    <w:rsid w:val="0BFF5FC6"/>
    <w:rsid w:val="0C276675"/>
    <w:rsid w:val="0C394019"/>
    <w:rsid w:val="0EC91588"/>
    <w:rsid w:val="0F6C0B73"/>
    <w:rsid w:val="0F8009F9"/>
    <w:rsid w:val="10997F43"/>
    <w:rsid w:val="10DE7BAE"/>
    <w:rsid w:val="11023BFD"/>
    <w:rsid w:val="110404BB"/>
    <w:rsid w:val="111C20F6"/>
    <w:rsid w:val="117E1CB2"/>
    <w:rsid w:val="11B9344A"/>
    <w:rsid w:val="11ED345F"/>
    <w:rsid w:val="11EE68B9"/>
    <w:rsid w:val="120774A3"/>
    <w:rsid w:val="12580C13"/>
    <w:rsid w:val="130B3696"/>
    <w:rsid w:val="14006D19"/>
    <w:rsid w:val="1414436B"/>
    <w:rsid w:val="14330E67"/>
    <w:rsid w:val="146C04F1"/>
    <w:rsid w:val="1481754F"/>
    <w:rsid w:val="148F5721"/>
    <w:rsid w:val="14AC57CD"/>
    <w:rsid w:val="14B14D17"/>
    <w:rsid w:val="15393625"/>
    <w:rsid w:val="15ED3E9B"/>
    <w:rsid w:val="15FB179E"/>
    <w:rsid w:val="164514BE"/>
    <w:rsid w:val="167821BF"/>
    <w:rsid w:val="170F06AA"/>
    <w:rsid w:val="17225508"/>
    <w:rsid w:val="180A6E32"/>
    <w:rsid w:val="18362E8E"/>
    <w:rsid w:val="183F2CD2"/>
    <w:rsid w:val="1856323E"/>
    <w:rsid w:val="187F54FA"/>
    <w:rsid w:val="18892FF8"/>
    <w:rsid w:val="18AF55E3"/>
    <w:rsid w:val="18B1519A"/>
    <w:rsid w:val="18CD0507"/>
    <w:rsid w:val="195D7D48"/>
    <w:rsid w:val="19852D03"/>
    <w:rsid w:val="1A6F1A83"/>
    <w:rsid w:val="1AD01A1B"/>
    <w:rsid w:val="1B24186C"/>
    <w:rsid w:val="1B4C5221"/>
    <w:rsid w:val="1B61065A"/>
    <w:rsid w:val="1BBF3927"/>
    <w:rsid w:val="1BF813DF"/>
    <w:rsid w:val="1C177B08"/>
    <w:rsid w:val="1C647BBB"/>
    <w:rsid w:val="1C9001C6"/>
    <w:rsid w:val="1CBA2101"/>
    <w:rsid w:val="1D0573D7"/>
    <w:rsid w:val="1D153DC4"/>
    <w:rsid w:val="1D223E0B"/>
    <w:rsid w:val="1D3A54CD"/>
    <w:rsid w:val="1DF33EB1"/>
    <w:rsid w:val="1E132F88"/>
    <w:rsid w:val="1E2867E9"/>
    <w:rsid w:val="1E853F6F"/>
    <w:rsid w:val="1E9C7BCC"/>
    <w:rsid w:val="1EB86E7D"/>
    <w:rsid w:val="1ECC1E3C"/>
    <w:rsid w:val="1FC75F31"/>
    <w:rsid w:val="1FFD4083"/>
    <w:rsid w:val="20122D1B"/>
    <w:rsid w:val="202F3D4C"/>
    <w:rsid w:val="20874C29"/>
    <w:rsid w:val="20E2786E"/>
    <w:rsid w:val="21014C39"/>
    <w:rsid w:val="21045DF0"/>
    <w:rsid w:val="21244EB1"/>
    <w:rsid w:val="213964D8"/>
    <w:rsid w:val="21595D04"/>
    <w:rsid w:val="21835807"/>
    <w:rsid w:val="21F13629"/>
    <w:rsid w:val="2305377E"/>
    <w:rsid w:val="2319700A"/>
    <w:rsid w:val="231A76D5"/>
    <w:rsid w:val="23BE460D"/>
    <w:rsid w:val="24122135"/>
    <w:rsid w:val="24D4257E"/>
    <w:rsid w:val="24F5519F"/>
    <w:rsid w:val="25253F04"/>
    <w:rsid w:val="2572202B"/>
    <w:rsid w:val="25AE612B"/>
    <w:rsid w:val="25B54731"/>
    <w:rsid w:val="25E7100D"/>
    <w:rsid w:val="2605683C"/>
    <w:rsid w:val="263604A5"/>
    <w:rsid w:val="26661176"/>
    <w:rsid w:val="26BB1419"/>
    <w:rsid w:val="27315D1D"/>
    <w:rsid w:val="27B748AA"/>
    <w:rsid w:val="27CB4CB9"/>
    <w:rsid w:val="27CC4452"/>
    <w:rsid w:val="281C2F58"/>
    <w:rsid w:val="28365E09"/>
    <w:rsid w:val="2844775F"/>
    <w:rsid w:val="292D5BF2"/>
    <w:rsid w:val="292F6239"/>
    <w:rsid w:val="29642C4B"/>
    <w:rsid w:val="29A66B9A"/>
    <w:rsid w:val="2A34628C"/>
    <w:rsid w:val="2A724D05"/>
    <w:rsid w:val="2A7E505C"/>
    <w:rsid w:val="2AC85686"/>
    <w:rsid w:val="2AD04B5F"/>
    <w:rsid w:val="2B39549B"/>
    <w:rsid w:val="2BA94DC7"/>
    <w:rsid w:val="2BC05B2C"/>
    <w:rsid w:val="2BD617C5"/>
    <w:rsid w:val="2C112837"/>
    <w:rsid w:val="2C360608"/>
    <w:rsid w:val="2D3B30E1"/>
    <w:rsid w:val="2E014790"/>
    <w:rsid w:val="2E3C43E6"/>
    <w:rsid w:val="2EAE66A3"/>
    <w:rsid w:val="2EE77680"/>
    <w:rsid w:val="2F2F0FC8"/>
    <w:rsid w:val="2F591020"/>
    <w:rsid w:val="2F8E63A4"/>
    <w:rsid w:val="301C6BB6"/>
    <w:rsid w:val="30723652"/>
    <w:rsid w:val="30766FB2"/>
    <w:rsid w:val="31687544"/>
    <w:rsid w:val="319708F2"/>
    <w:rsid w:val="31B14C9E"/>
    <w:rsid w:val="31FE2981"/>
    <w:rsid w:val="32980539"/>
    <w:rsid w:val="33170395"/>
    <w:rsid w:val="33C522D7"/>
    <w:rsid w:val="33EE09D6"/>
    <w:rsid w:val="33F228A5"/>
    <w:rsid w:val="347C19A0"/>
    <w:rsid w:val="34807672"/>
    <w:rsid w:val="35135B80"/>
    <w:rsid w:val="351B1E30"/>
    <w:rsid w:val="358E5935"/>
    <w:rsid w:val="35B06C6A"/>
    <w:rsid w:val="36941AA2"/>
    <w:rsid w:val="36D37423"/>
    <w:rsid w:val="379D23F9"/>
    <w:rsid w:val="37E74183"/>
    <w:rsid w:val="39110091"/>
    <w:rsid w:val="3A185287"/>
    <w:rsid w:val="3A1F46B8"/>
    <w:rsid w:val="3A692CD0"/>
    <w:rsid w:val="3B270929"/>
    <w:rsid w:val="3B3D5571"/>
    <w:rsid w:val="3B5D276F"/>
    <w:rsid w:val="3B673620"/>
    <w:rsid w:val="3B9A1F29"/>
    <w:rsid w:val="3BAA6FE7"/>
    <w:rsid w:val="3BE160AB"/>
    <w:rsid w:val="3BEA7D63"/>
    <w:rsid w:val="3CE4646B"/>
    <w:rsid w:val="3D5E7AA8"/>
    <w:rsid w:val="3D6F2596"/>
    <w:rsid w:val="3F5E503E"/>
    <w:rsid w:val="3FA3488F"/>
    <w:rsid w:val="40060459"/>
    <w:rsid w:val="405F175E"/>
    <w:rsid w:val="40737877"/>
    <w:rsid w:val="40A811A8"/>
    <w:rsid w:val="40C765F3"/>
    <w:rsid w:val="41C755BE"/>
    <w:rsid w:val="41EF183A"/>
    <w:rsid w:val="42424160"/>
    <w:rsid w:val="42B16B47"/>
    <w:rsid w:val="42F869D2"/>
    <w:rsid w:val="43553536"/>
    <w:rsid w:val="43AD068D"/>
    <w:rsid w:val="44972678"/>
    <w:rsid w:val="44C465F8"/>
    <w:rsid w:val="44D2042F"/>
    <w:rsid w:val="44E65610"/>
    <w:rsid w:val="451632B9"/>
    <w:rsid w:val="45394C2C"/>
    <w:rsid w:val="45906394"/>
    <w:rsid w:val="45D40A2F"/>
    <w:rsid w:val="45F60A50"/>
    <w:rsid w:val="46142D0C"/>
    <w:rsid w:val="463A5AC1"/>
    <w:rsid w:val="46970A81"/>
    <w:rsid w:val="46B036BF"/>
    <w:rsid w:val="46F866D1"/>
    <w:rsid w:val="47282363"/>
    <w:rsid w:val="476B3528"/>
    <w:rsid w:val="47C726B0"/>
    <w:rsid w:val="49DC4EAC"/>
    <w:rsid w:val="49E55BC5"/>
    <w:rsid w:val="4A03035B"/>
    <w:rsid w:val="4C1C63D6"/>
    <w:rsid w:val="4C864A35"/>
    <w:rsid w:val="4C9C556F"/>
    <w:rsid w:val="4CA20EC7"/>
    <w:rsid w:val="4E015C76"/>
    <w:rsid w:val="4E310026"/>
    <w:rsid w:val="4E4A2325"/>
    <w:rsid w:val="4E593663"/>
    <w:rsid w:val="4E702749"/>
    <w:rsid w:val="4EC85323"/>
    <w:rsid w:val="4EDB3464"/>
    <w:rsid w:val="4FA2192A"/>
    <w:rsid w:val="4FE973EB"/>
    <w:rsid w:val="501A6C55"/>
    <w:rsid w:val="50AD31B7"/>
    <w:rsid w:val="511F73F9"/>
    <w:rsid w:val="51234069"/>
    <w:rsid w:val="51B14BED"/>
    <w:rsid w:val="52526454"/>
    <w:rsid w:val="525C1CEF"/>
    <w:rsid w:val="528B5767"/>
    <w:rsid w:val="52A77D4F"/>
    <w:rsid w:val="52D33625"/>
    <w:rsid w:val="52FD1C01"/>
    <w:rsid w:val="52FD33B4"/>
    <w:rsid w:val="536E37BE"/>
    <w:rsid w:val="5372021A"/>
    <w:rsid w:val="53A3105E"/>
    <w:rsid w:val="53C64B93"/>
    <w:rsid w:val="548A6C60"/>
    <w:rsid w:val="54A111AB"/>
    <w:rsid w:val="54E07F19"/>
    <w:rsid w:val="553B417D"/>
    <w:rsid w:val="55B1164D"/>
    <w:rsid w:val="55B4735E"/>
    <w:rsid w:val="55BB221D"/>
    <w:rsid w:val="55D64ABB"/>
    <w:rsid w:val="56371459"/>
    <w:rsid w:val="56484633"/>
    <w:rsid w:val="574B3EB2"/>
    <w:rsid w:val="577823B2"/>
    <w:rsid w:val="58D0053D"/>
    <w:rsid w:val="59064002"/>
    <w:rsid w:val="59303800"/>
    <w:rsid w:val="598C40A0"/>
    <w:rsid w:val="59DA647E"/>
    <w:rsid w:val="59EF102F"/>
    <w:rsid w:val="5A4D0D18"/>
    <w:rsid w:val="5A556E1A"/>
    <w:rsid w:val="5ABD6B5A"/>
    <w:rsid w:val="5AD04359"/>
    <w:rsid w:val="5B655329"/>
    <w:rsid w:val="5C1166E3"/>
    <w:rsid w:val="5C204854"/>
    <w:rsid w:val="5C811C94"/>
    <w:rsid w:val="5CEA5E4B"/>
    <w:rsid w:val="5DE74DD6"/>
    <w:rsid w:val="5E2864D0"/>
    <w:rsid w:val="5E494511"/>
    <w:rsid w:val="5E617EB9"/>
    <w:rsid w:val="5EB44FC0"/>
    <w:rsid w:val="5EB81F13"/>
    <w:rsid w:val="5EDA64BC"/>
    <w:rsid w:val="5FBA395F"/>
    <w:rsid w:val="5FCA785E"/>
    <w:rsid w:val="60B92183"/>
    <w:rsid w:val="60EC2CBA"/>
    <w:rsid w:val="61661B78"/>
    <w:rsid w:val="61CC2D28"/>
    <w:rsid w:val="62DE3B93"/>
    <w:rsid w:val="630C63B9"/>
    <w:rsid w:val="63447B86"/>
    <w:rsid w:val="63454F29"/>
    <w:rsid w:val="635902CD"/>
    <w:rsid w:val="63A847E0"/>
    <w:rsid w:val="642A3E76"/>
    <w:rsid w:val="645E1DDB"/>
    <w:rsid w:val="64706BBE"/>
    <w:rsid w:val="64F2095B"/>
    <w:rsid w:val="65267327"/>
    <w:rsid w:val="65C60E57"/>
    <w:rsid w:val="65D63F94"/>
    <w:rsid w:val="66036AF7"/>
    <w:rsid w:val="67A858DB"/>
    <w:rsid w:val="67BC700D"/>
    <w:rsid w:val="67FE4166"/>
    <w:rsid w:val="68AD2162"/>
    <w:rsid w:val="68C401C3"/>
    <w:rsid w:val="69045D7F"/>
    <w:rsid w:val="693027BF"/>
    <w:rsid w:val="695D64DC"/>
    <w:rsid w:val="6968769B"/>
    <w:rsid w:val="69831B57"/>
    <w:rsid w:val="69A833BD"/>
    <w:rsid w:val="69FB3F8F"/>
    <w:rsid w:val="6A5D78D5"/>
    <w:rsid w:val="6A85354A"/>
    <w:rsid w:val="6B5A3793"/>
    <w:rsid w:val="6C4E0A66"/>
    <w:rsid w:val="6C8E0C06"/>
    <w:rsid w:val="6CEA79B8"/>
    <w:rsid w:val="6D566F0F"/>
    <w:rsid w:val="6D836F72"/>
    <w:rsid w:val="6DC2026F"/>
    <w:rsid w:val="6DDE3DAF"/>
    <w:rsid w:val="6E281030"/>
    <w:rsid w:val="6E2C7D5B"/>
    <w:rsid w:val="6E3241BE"/>
    <w:rsid w:val="6EB97A9D"/>
    <w:rsid w:val="6EF10A90"/>
    <w:rsid w:val="6FD45BF8"/>
    <w:rsid w:val="6FFF1868"/>
    <w:rsid w:val="70332195"/>
    <w:rsid w:val="70A20D5A"/>
    <w:rsid w:val="715037EE"/>
    <w:rsid w:val="71507435"/>
    <w:rsid w:val="715F4C2D"/>
    <w:rsid w:val="721C3FA1"/>
    <w:rsid w:val="722F78FB"/>
    <w:rsid w:val="723D67C5"/>
    <w:rsid w:val="7250627B"/>
    <w:rsid w:val="72BF60CA"/>
    <w:rsid w:val="72F41282"/>
    <w:rsid w:val="733D0D32"/>
    <w:rsid w:val="73D411F1"/>
    <w:rsid w:val="74165422"/>
    <w:rsid w:val="74E63B01"/>
    <w:rsid w:val="753811DE"/>
    <w:rsid w:val="7566040A"/>
    <w:rsid w:val="757733D9"/>
    <w:rsid w:val="75A7114C"/>
    <w:rsid w:val="75BE67D4"/>
    <w:rsid w:val="75C2004C"/>
    <w:rsid w:val="75C759C1"/>
    <w:rsid w:val="75EF0B62"/>
    <w:rsid w:val="760F5DAE"/>
    <w:rsid w:val="762D64F3"/>
    <w:rsid w:val="763E0D7C"/>
    <w:rsid w:val="76761433"/>
    <w:rsid w:val="767E7EFF"/>
    <w:rsid w:val="775B4604"/>
    <w:rsid w:val="77B55917"/>
    <w:rsid w:val="77C067C3"/>
    <w:rsid w:val="77EA64D7"/>
    <w:rsid w:val="78911E31"/>
    <w:rsid w:val="78A33286"/>
    <w:rsid w:val="7922350F"/>
    <w:rsid w:val="792B5470"/>
    <w:rsid w:val="79762E65"/>
    <w:rsid w:val="79C637D8"/>
    <w:rsid w:val="7A7F40B1"/>
    <w:rsid w:val="7A9367CB"/>
    <w:rsid w:val="7AA10DE7"/>
    <w:rsid w:val="7AF22571"/>
    <w:rsid w:val="7B626FA0"/>
    <w:rsid w:val="7B69224B"/>
    <w:rsid w:val="7BE80F25"/>
    <w:rsid w:val="7C036618"/>
    <w:rsid w:val="7C1C35A7"/>
    <w:rsid w:val="7C45431D"/>
    <w:rsid w:val="7D243E1C"/>
    <w:rsid w:val="7D3219D5"/>
    <w:rsid w:val="7DDD0501"/>
    <w:rsid w:val="7DE51372"/>
    <w:rsid w:val="7E3F4005"/>
    <w:rsid w:val="7E5E590F"/>
    <w:rsid w:val="7E935AFB"/>
    <w:rsid w:val="7EAF1137"/>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2023-09-27T14:16:29Z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C4DBDF87124D4C7EBEE65EDD26358105</vt:lpwstr>
  </property>
</Properties>
</file>